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152" w:type="dxa"/>
        <w:tblBorders>
          <w:bottom w:val="single" w:sz="4" w:space="0" w:color="auto"/>
          <w:insideH w:val="single" w:sz="4" w:space="0" w:color="auto"/>
        </w:tblBorders>
        <w:tblLook w:val="0000"/>
      </w:tblPr>
      <w:tblGrid>
        <w:gridCol w:w="6480"/>
        <w:gridCol w:w="4680"/>
      </w:tblGrid>
      <w:tr w:rsidR="00BB4C9B" w:rsidTr="00BB4C9B">
        <w:tblPrEx>
          <w:tblCellMar>
            <w:top w:w="0" w:type="dxa"/>
            <w:bottom w:w="0" w:type="dxa"/>
          </w:tblCellMar>
        </w:tblPrEx>
        <w:trPr>
          <w:trHeight w:val="1980"/>
        </w:trPr>
        <w:tc>
          <w:tcPr>
            <w:tcW w:w="6480" w:type="dxa"/>
          </w:tcPr>
          <w:p w:rsidR="00BB4C9B" w:rsidRDefault="00AC6B09" w:rsidP="00BB4C9B">
            <w:pPr>
              <w:ind w:left="180"/>
              <w:jc w:val="center"/>
              <w:rPr>
                <w:color w:val="0000FF"/>
              </w:rPr>
            </w:pPr>
            <w:r>
              <w:rPr>
                <w:noProof/>
                <w:color w:val="0000F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1028700" cy="1028700"/>
                  <wp:effectExtent l="19050" t="0" r="0" b="0"/>
                  <wp:wrapSquare wrapText="bothSides"/>
                  <wp:docPr id="2"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BB4C9B">
              <w:rPr>
                <w:color w:val="0000FF"/>
              </w:rPr>
              <w:t>ΟΜΟΣΠΟΝΔΙΑ ΔΙΚΑΣΤΙΚΩΝ</w:t>
            </w:r>
          </w:p>
          <w:p w:rsidR="00BB4C9B" w:rsidRDefault="00BB4C9B" w:rsidP="00BB4C9B">
            <w:pPr>
              <w:jc w:val="center"/>
            </w:pPr>
            <w:r>
              <w:rPr>
                <w:color w:val="0000FF"/>
              </w:rPr>
              <w:t>ΥΠΑΛΛΗΛΩΝ ΕΛΛΑΔΟΣ Ο.Δ.Υ.Ε.</w:t>
            </w:r>
          </w:p>
          <w:p w:rsidR="00BB4C9B" w:rsidRDefault="00BB4C9B" w:rsidP="00BB4C9B">
            <w:pPr>
              <w:jc w:val="center"/>
            </w:pPr>
            <w:r>
              <w:t>Πρωτοδικείο Αθηνών</w:t>
            </w:r>
          </w:p>
          <w:p w:rsidR="00BB4C9B" w:rsidRDefault="00BB4C9B" w:rsidP="00BB4C9B">
            <w:pPr>
              <w:jc w:val="center"/>
            </w:pPr>
            <w:r>
              <w:t>Πρ. Σχολή Ευελπίδων κτίριο 13 γραφείο 201</w:t>
            </w:r>
          </w:p>
          <w:p w:rsidR="00BB4C9B" w:rsidRDefault="00BB4C9B" w:rsidP="00BB4C9B">
            <w:pPr>
              <w:jc w:val="center"/>
            </w:pPr>
            <w:r>
              <w:rPr>
                <w:lang w:val="en-US"/>
              </w:rPr>
              <w:t>T</w:t>
            </w:r>
            <w:r>
              <w:t>.</w:t>
            </w:r>
            <w:r>
              <w:rPr>
                <w:lang w:val="en-US"/>
              </w:rPr>
              <w:t>K</w:t>
            </w:r>
            <w:r>
              <w:t>. 11362</w:t>
            </w:r>
          </w:p>
          <w:p w:rsidR="00BB4C9B" w:rsidRDefault="00BB4C9B" w:rsidP="00BB4C9B">
            <w:pPr>
              <w:jc w:val="center"/>
            </w:pPr>
            <w:r>
              <w:t>Τηλ: 210-8253646, 210-8253649, 210-8826464</w:t>
            </w:r>
          </w:p>
          <w:p w:rsidR="00BB4C9B" w:rsidRDefault="00BB4C9B" w:rsidP="00BB4C9B">
            <w:pPr>
              <w:jc w:val="center"/>
            </w:pPr>
            <w:r>
              <w:t xml:space="preserve">210-8625016 ή 210-8625522 εσωτερικό 350 </w:t>
            </w:r>
          </w:p>
          <w:p w:rsidR="00BB4C9B" w:rsidRPr="00BB4C9B" w:rsidRDefault="00BB4C9B" w:rsidP="00BB4C9B">
            <w:pPr>
              <w:jc w:val="center"/>
              <w:rPr>
                <w:lang w:val="en-GB"/>
              </w:rPr>
            </w:pPr>
            <w:r>
              <w:rPr>
                <w:lang w:val="en-US"/>
              </w:rPr>
              <w:t>Fax</w:t>
            </w:r>
            <w:r w:rsidRPr="00BB4C9B">
              <w:rPr>
                <w:lang w:val="en-GB"/>
              </w:rPr>
              <w:t xml:space="preserve">: 210-8826172 </w:t>
            </w:r>
          </w:p>
          <w:p w:rsidR="00BB4C9B" w:rsidRPr="00BB4C9B" w:rsidRDefault="00BB4C9B" w:rsidP="00BB4C9B">
            <w:pPr>
              <w:jc w:val="center"/>
              <w:rPr>
                <w:color w:val="0000FF"/>
                <w:lang w:val="en-GB"/>
              </w:rPr>
            </w:pPr>
            <w:r w:rsidRPr="00BB4C9B">
              <w:rPr>
                <w:b/>
                <w:bCs/>
                <w:lang w:val="en-GB"/>
              </w:rPr>
              <w:t xml:space="preserve">                                </w:t>
            </w:r>
            <w:r>
              <w:rPr>
                <w:b/>
                <w:bCs/>
                <w:lang w:val="en-US"/>
              </w:rPr>
              <w:t>http</w:t>
            </w:r>
            <w:r w:rsidRPr="00BB4C9B">
              <w:rPr>
                <w:b/>
                <w:bCs/>
                <w:lang w:val="en-GB"/>
              </w:rPr>
              <w:t>://</w:t>
            </w:r>
            <w:r>
              <w:rPr>
                <w:b/>
                <w:bCs/>
                <w:lang w:val="en-US"/>
              </w:rPr>
              <w:t>www</w:t>
            </w:r>
            <w:r w:rsidRPr="00BB4C9B">
              <w:rPr>
                <w:b/>
                <w:bCs/>
                <w:lang w:val="en-GB"/>
              </w:rPr>
              <w:t>.</w:t>
            </w:r>
            <w:r>
              <w:rPr>
                <w:b/>
                <w:bCs/>
                <w:lang w:val="en-US"/>
              </w:rPr>
              <w:t>odye</w:t>
            </w:r>
            <w:r w:rsidRPr="00BB4C9B">
              <w:rPr>
                <w:b/>
                <w:bCs/>
                <w:lang w:val="en-GB"/>
              </w:rPr>
              <w:t>.</w:t>
            </w:r>
            <w:r>
              <w:rPr>
                <w:b/>
                <w:bCs/>
                <w:lang w:val="en-US"/>
              </w:rPr>
              <w:t>gr</w:t>
            </w:r>
            <w:r w:rsidRPr="00BB4C9B">
              <w:rPr>
                <w:b/>
                <w:bCs/>
                <w:lang w:val="en-GB"/>
              </w:rPr>
              <w:t xml:space="preserve">  </w:t>
            </w:r>
            <w:r>
              <w:rPr>
                <w:b/>
                <w:bCs/>
                <w:lang w:val="en-US"/>
              </w:rPr>
              <w:t>email</w:t>
            </w:r>
            <w:r w:rsidRPr="00BB4C9B">
              <w:rPr>
                <w:b/>
                <w:bCs/>
                <w:lang w:val="en-GB"/>
              </w:rPr>
              <w:t>:</w:t>
            </w:r>
            <w:r>
              <w:rPr>
                <w:b/>
                <w:bCs/>
                <w:lang w:val="en-US"/>
              </w:rPr>
              <w:t>info</w:t>
            </w:r>
            <w:r w:rsidRPr="00BB4C9B">
              <w:rPr>
                <w:b/>
                <w:bCs/>
                <w:lang w:val="en-GB"/>
              </w:rPr>
              <w:t>@</w:t>
            </w:r>
            <w:r>
              <w:rPr>
                <w:b/>
                <w:bCs/>
                <w:lang w:val="en-US"/>
              </w:rPr>
              <w:t>odye</w:t>
            </w:r>
            <w:r w:rsidRPr="00BB4C9B">
              <w:rPr>
                <w:b/>
                <w:bCs/>
                <w:lang w:val="en-GB"/>
              </w:rPr>
              <w:t>.</w:t>
            </w:r>
            <w:r>
              <w:rPr>
                <w:b/>
                <w:bCs/>
                <w:lang w:val="en-US"/>
              </w:rPr>
              <w:t>gr</w:t>
            </w:r>
          </w:p>
        </w:tc>
        <w:tc>
          <w:tcPr>
            <w:tcW w:w="4680" w:type="dxa"/>
          </w:tcPr>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321072" w:rsidRDefault="00BB4C9B" w:rsidP="00BB4C9B">
            <w:pPr>
              <w:jc w:val="right"/>
              <w:rPr>
                <w:sz w:val="24"/>
                <w:szCs w:val="24"/>
              </w:rPr>
            </w:pPr>
            <w:r w:rsidRPr="00BB4C9B">
              <w:t xml:space="preserve"> </w:t>
            </w:r>
            <w:r>
              <w:rPr>
                <w:sz w:val="24"/>
                <w:szCs w:val="24"/>
              </w:rPr>
              <w:t>Αθήνα, 13 Νοεμβρίου</w:t>
            </w:r>
            <w:r w:rsidRPr="00321072">
              <w:rPr>
                <w:sz w:val="24"/>
                <w:szCs w:val="24"/>
              </w:rPr>
              <w:t xml:space="preserve"> 2007</w:t>
            </w:r>
          </w:p>
          <w:p w:rsidR="00BB4C9B" w:rsidRPr="00321072" w:rsidRDefault="00BB4C9B" w:rsidP="00BB4C9B">
            <w:pPr>
              <w:jc w:val="right"/>
              <w:rPr>
                <w:sz w:val="24"/>
                <w:szCs w:val="24"/>
              </w:rPr>
            </w:pPr>
          </w:p>
          <w:p w:rsidR="00BB4C9B" w:rsidRPr="00F51A7A" w:rsidRDefault="00BB4C9B" w:rsidP="00BB4C9B">
            <w:pPr>
              <w:jc w:val="right"/>
              <w:rPr>
                <w:sz w:val="24"/>
                <w:szCs w:val="24"/>
              </w:rPr>
            </w:pPr>
            <w:r>
              <w:rPr>
                <w:sz w:val="24"/>
                <w:szCs w:val="24"/>
              </w:rPr>
              <w:t>Αρ. Πρωτ. 51</w:t>
            </w:r>
            <w:r w:rsidR="005E7552" w:rsidRPr="0081213B">
              <w:rPr>
                <w:rFonts w:ascii="Times New Roman" w:hAnsi="Times New Roman" w:cs="Times New Roman"/>
                <w:sz w:val="24"/>
                <w:szCs w:val="24"/>
              </w:rPr>
              <w:t>Ι</w:t>
            </w:r>
            <w:r w:rsidR="00DA027A">
              <w:rPr>
                <w:rFonts w:ascii="Times New Roman" w:hAnsi="Times New Roman" w:cs="Times New Roman"/>
                <w:sz w:val="24"/>
                <w:szCs w:val="24"/>
              </w:rPr>
              <w:t xml:space="preserve"> Γ</w:t>
            </w:r>
          </w:p>
          <w:p w:rsidR="00BB4C9B" w:rsidRDefault="00BB4C9B" w:rsidP="00BB4C9B">
            <w:pPr>
              <w:pStyle w:val="4"/>
              <w:jc w:val="left"/>
              <w:rPr>
                <w:color w:val="0000FF"/>
              </w:rPr>
            </w:pPr>
          </w:p>
        </w:tc>
      </w:tr>
    </w:tbl>
    <w:p w:rsidR="00506FC1" w:rsidRDefault="00506FC1"/>
    <w:p w:rsidR="00506FC1" w:rsidRPr="00251CB4" w:rsidRDefault="00506FC1" w:rsidP="00506FC1">
      <w:pPr>
        <w:rPr>
          <w:rFonts w:ascii="Verdana" w:hAnsi="Verdana"/>
          <w:b/>
        </w:rPr>
      </w:pPr>
    </w:p>
    <w:p w:rsidR="00506FC1" w:rsidRPr="00CE32E2" w:rsidRDefault="00506FC1" w:rsidP="00506FC1">
      <w:pPr>
        <w:rPr>
          <w:rFonts w:ascii="Verdana" w:hAnsi="Verdana"/>
          <w:sz w:val="22"/>
          <w:szCs w:val="22"/>
        </w:rPr>
      </w:pPr>
      <w:r w:rsidRPr="00CE32E2">
        <w:rPr>
          <w:rFonts w:ascii="Verdana" w:hAnsi="Verdana"/>
          <w:b/>
          <w:sz w:val="22"/>
          <w:szCs w:val="22"/>
        </w:rPr>
        <w:t>ΠΡΟΣ:</w:t>
      </w:r>
      <w:r w:rsidR="006154AF">
        <w:rPr>
          <w:rFonts w:ascii="Verdana" w:hAnsi="Verdana"/>
          <w:sz w:val="22"/>
          <w:szCs w:val="22"/>
        </w:rPr>
        <w:t xml:space="preserve"> </w:t>
      </w:r>
      <w:r w:rsidRPr="00CE32E2">
        <w:rPr>
          <w:rFonts w:ascii="Verdana" w:hAnsi="Verdana"/>
          <w:sz w:val="22"/>
          <w:szCs w:val="22"/>
        </w:rPr>
        <w:t>Τον Υπουργό της Δικαιοσύνης, κ. Σωτήρη Χατζηγάκη.</w:t>
      </w:r>
    </w:p>
    <w:p w:rsidR="00506FC1" w:rsidRPr="00CE32E2" w:rsidRDefault="00506FC1" w:rsidP="00506FC1">
      <w:pPr>
        <w:rPr>
          <w:rFonts w:ascii="Verdana" w:hAnsi="Verdana"/>
          <w:sz w:val="22"/>
          <w:szCs w:val="22"/>
        </w:rPr>
      </w:pPr>
    </w:p>
    <w:p w:rsidR="00506FC1" w:rsidRDefault="00215390" w:rsidP="006154AF">
      <w:pPr>
        <w:rPr>
          <w:rFonts w:ascii="Verdana" w:hAnsi="Verdana"/>
          <w:sz w:val="22"/>
          <w:szCs w:val="22"/>
        </w:rPr>
      </w:pPr>
      <w:r>
        <w:rPr>
          <w:rFonts w:ascii="Verdana" w:hAnsi="Verdana"/>
          <w:b/>
          <w:sz w:val="22"/>
          <w:szCs w:val="22"/>
        </w:rPr>
        <w:t>ΚΟΙΝ</w:t>
      </w:r>
      <w:r w:rsidR="00506FC1" w:rsidRPr="00CE32E2">
        <w:rPr>
          <w:rFonts w:ascii="Verdana" w:hAnsi="Verdana"/>
          <w:b/>
          <w:sz w:val="22"/>
          <w:szCs w:val="22"/>
        </w:rPr>
        <w:t xml:space="preserve">: </w:t>
      </w:r>
      <w:r w:rsidR="00506FC1" w:rsidRPr="00CE32E2">
        <w:rPr>
          <w:rFonts w:ascii="Verdana" w:hAnsi="Verdana"/>
          <w:sz w:val="22"/>
          <w:szCs w:val="22"/>
        </w:rPr>
        <w:t>Γεν. Γραμματέα του Υπ. Δικαιοσύνης</w:t>
      </w:r>
      <w:r w:rsidR="0081213B">
        <w:rPr>
          <w:rFonts w:ascii="Verdana" w:hAnsi="Verdana"/>
          <w:sz w:val="22"/>
          <w:szCs w:val="22"/>
        </w:rPr>
        <w:t>, κ. Κωνσταντίνο Γκλέτσο</w:t>
      </w:r>
      <w:r w:rsidR="006154AF">
        <w:rPr>
          <w:rFonts w:ascii="Verdana" w:hAnsi="Verdana"/>
          <w:sz w:val="22"/>
          <w:szCs w:val="22"/>
        </w:rPr>
        <w:t>.</w:t>
      </w:r>
    </w:p>
    <w:p w:rsidR="00F2349A" w:rsidRDefault="00F2349A" w:rsidP="006154AF">
      <w:pPr>
        <w:rPr>
          <w:rFonts w:ascii="Verdana" w:hAnsi="Verdana"/>
          <w:b/>
          <w:sz w:val="22"/>
          <w:szCs w:val="22"/>
        </w:rPr>
      </w:pPr>
    </w:p>
    <w:p w:rsidR="0081213B" w:rsidRPr="00F2349A" w:rsidRDefault="0081213B" w:rsidP="0081213B">
      <w:pPr>
        <w:pStyle w:val="a4"/>
        <w:spacing w:before="0" w:beforeAutospacing="0" w:after="0" w:afterAutospacing="0"/>
        <w:ind w:right="113"/>
        <w:rPr>
          <w:rFonts w:ascii="Verdana" w:hAnsi="Verdana"/>
          <w:i/>
          <w:sz w:val="20"/>
          <w:szCs w:val="20"/>
        </w:rPr>
      </w:pPr>
      <w:r>
        <w:rPr>
          <w:rFonts w:ascii="Verdana" w:hAnsi="Verdana" w:cs="Arial"/>
          <w:i/>
          <w:sz w:val="20"/>
          <w:szCs w:val="20"/>
        </w:rPr>
        <w:t>ΣΥΝΑΡΜΟΔΙΑ ΥΠΟΥΡΓΕΙΑ</w:t>
      </w:r>
      <w:r w:rsidR="00D04F59">
        <w:rPr>
          <w:rFonts w:ascii="Verdana" w:hAnsi="Verdana" w:cs="Arial"/>
          <w:i/>
          <w:sz w:val="20"/>
          <w:szCs w:val="20"/>
        </w:rPr>
        <w:t xml:space="preserve"> ΚΑΙ ΦΟΡΕΙΣ</w:t>
      </w:r>
      <w:r>
        <w:rPr>
          <w:rFonts w:ascii="Verdana" w:hAnsi="Verdana" w:cs="Arial"/>
          <w:i/>
          <w:sz w:val="20"/>
          <w:szCs w:val="20"/>
        </w:rPr>
        <w:t>: ΟΙΚΟΝΟΜΙΚΩΝ</w:t>
      </w:r>
      <w:r w:rsidR="00D04F59">
        <w:rPr>
          <w:rFonts w:ascii="Verdana" w:hAnsi="Verdana" w:cs="Arial"/>
          <w:i/>
          <w:sz w:val="20"/>
          <w:szCs w:val="20"/>
        </w:rPr>
        <w:t>,</w:t>
      </w:r>
      <w:r w:rsidR="00E2606C">
        <w:rPr>
          <w:rFonts w:ascii="Verdana" w:hAnsi="Verdana" w:cs="Arial"/>
          <w:i/>
          <w:sz w:val="20"/>
          <w:szCs w:val="20"/>
        </w:rPr>
        <w:t xml:space="preserve"> </w:t>
      </w:r>
      <w:r w:rsidR="00DA027A">
        <w:rPr>
          <w:rFonts w:ascii="Verdana" w:hAnsi="Verdana" w:cs="Arial"/>
          <w:i/>
          <w:sz w:val="20"/>
          <w:szCs w:val="20"/>
        </w:rPr>
        <w:t>ΤΑΧΔΙΚ, ΤΟΠΙΚΗ ΑΥΤΟΔΙΟΙΚΗΣΗ</w:t>
      </w:r>
      <w:r w:rsidR="00D04F59">
        <w:rPr>
          <w:rFonts w:ascii="Verdana" w:hAnsi="Verdana" w:cs="Arial"/>
          <w:i/>
          <w:sz w:val="20"/>
          <w:szCs w:val="20"/>
        </w:rPr>
        <w:t>.</w:t>
      </w:r>
    </w:p>
    <w:p w:rsidR="00506FC1" w:rsidRDefault="00506FC1" w:rsidP="00506FC1">
      <w:pPr>
        <w:rPr>
          <w:sz w:val="24"/>
          <w:szCs w:val="24"/>
        </w:rPr>
      </w:pPr>
    </w:p>
    <w:p w:rsidR="00215390" w:rsidRPr="00215390" w:rsidRDefault="006154AF" w:rsidP="00215390">
      <w:pPr>
        <w:pStyle w:val="a4"/>
        <w:spacing w:before="0" w:beforeAutospacing="0" w:after="0" w:afterAutospacing="0"/>
        <w:ind w:right="113"/>
        <w:jc w:val="center"/>
        <w:rPr>
          <w:b/>
        </w:rPr>
      </w:pPr>
      <w:r w:rsidRPr="00215390">
        <w:rPr>
          <w:rFonts w:ascii="Verdana" w:hAnsi="Verdana"/>
          <w:b/>
        </w:rPr>
        <w:t xml:space="preserve">ΘΕΜΑ: </w:t>
      </w:r>
      <w:r w:rsidR="00215390" w:rsidRPr="00215390">
        <w:rPr>
          <w:rFonts w:ascii="Arial" w:hAnsi="Arial" w:cs="Arial"/>
          <w:b/>
        </w:rPr>
        <w:t>ΑΙΤΗΜΑΤΑ – ΔΙΕΚΔΙΚΗΤΙΚΟ ΠΛΑΙΣΙΟ ΣΥΜΦΩΝΑ ΜΕ ΟΜΟΦΩΝΗ ΑΠΟΦΑΣΗ ΤΟΥ ΠΡΟΣΦΑΤΟΥ ΣΥΝΕΔΡΙΟΥ ΤΗΣ Ο.Δ.Υ.Ε.</w:t>
      </w:r>
    </w:p>
    <w:p w:rsidR="006154AF" w:rsidRPr="00215390" w:rsidRDefault="00215390" w:rsidP="00215390">
      <w:pPr>
        <w:jc w:val="center"/>
        <w:rPr>
          <w:rFonts w:ascii="Verdana" w:hAnsi="Verdana"/>
          <w:b/>
          <w:sz w:val="24"/>
          <w:szCs w:val="24"/>
        </w:rPr>
      </w:pPr>
      <w:r w:rsidRPr="00215390">
        <w:rPr>
          <w:b/>
          <w:sz w:val="24"/>
          <w:szCs w:val="24"/>
        </w:rPr>
        <w:t>ΠΟΥ ΕΓΙΝΕ ΣΤΟ ΛΟΥΤΡΑΚΙ ΚΟΡΙΝΘΙΑΣ 14 &amp; 15 ΙΟΥΝΙΟΥ 2007.</w:t>
      </w:r>
    </w:p>
    <w:p w:rsidR="00F2349A" w:rsidRPr="00F2349A" w:rsidRDefault="00F2349A" w:rsidP="00F2349A">
      <w:pPr>
        <w:pStyle w:val="a4"/>
        <w:spacing w:before="0" w:beforeAutospacing="0" w:after="0" w:afterAutospacing="0"/>
        <w:ind w:right="113"/>
        <w:jc w:val="center"/>
        <w:rPr>
          <w:rFonts w:ascii="Arial" w:hAnsi="Arial" w:cs="Arial"/>
          <w:sz w:val="22"/>
          <w:szCs w:val="22"/>
        </w:rPr>
      </w:pPr>
    </w:p>
    <w:p w:rsidR="00F2349A" w:rsidRPr="005826BC" w:rsidRDefault="00640D37" w:rsidP="00F2349A">
      <w:pPr>
        <w:rPr>
          <w:rFonts w:ascii="Verdana" w:hAnsi="Verdana"/>
          <w:b/>
          <w:sz w:val="22"/>
          <w:szCs w:val="22"/>
          <w:u w:val="single"/>
        </w:rPr>
      </w:pPr>
      <w:r>
        <w:rPr>
          <w:rFonts w:ascii="Verdana" w:hAnsi="Verdana"/>
          <w:sz w:val="22"/>
          <w:szCs w:val="22"/>
        </w:rPr>
        <w:t>ΕΠΙ ΜΕΡΟΥΣ</w:t>
      </w:r>
      <w:r w:rsidR="00F2349A" w:rsidRPr="00F2349A">
        <w:rPr>
          <w:rFonts w:ascii="Verdana" w:hAnsi="Verdana"/>
          <w:sz w:val="22"/>
          <w:szCs w:val="22"/>
        </w:rPr>
        <w:t xml:space="preserve"> ΑΙΤΗΜΑ</w:t>
      </w:r>
      <w:r>
        <w:rPr>
          <w:rFonts w:ascii="Verdana" w:hAnsi="Verdana"/>
          <w:sz w:val="22"/>
          <w:szCs w:val="22"/>
        </w:rPr>
        <w:t xml:space="preserve"> ΣΥΝΘΗΚΩΝ ΕΡΓΑΣΙΑΣ</w:t>
      </w:r>
      <w:r w:rsidR="00F2349A" w:rsidRPr="00F2349A">
        <w:rPr>
          <w:rFonts w:ascii="Verdana" w:hAnsi="Verdana"/>
          <w:sz w:val="22"/>
          <w:szCs w:val="22"/>
        </w:rPr>
        <w:t xml:space="preserve">: </w:t>
      </w:r>
      <w:r w:rsidR="00DA027A" w:rsidRPr="00DA027A">
        <w:rPr>
          <w:rFonts w:ascii="Verdana" w:hAnsi="Verdana"/>
          <w:b/>
          <w:sz w:val="22"/>
          <w:szCs w:val="22"/>
          <w:u w:val="single"/>
        </w:rPr>
        <w:t>ΠΑΙΔΙΚΟΙ – ΒΡΕΦΟΝΗΠΙΑΚΟΙ ΣΤΑΘΜΟΙ ΚΑΙ ΚΑΤΑΣΚΗΝΩΣΕΙΣ</w:t>
      </w:r>
    </w:p>
    <w:p w:rsidR="00F2349A" w:rsidRDefault="00F2349A" w:rsidP="00F2349A">
      <w:pPr>
        <w:pStyle w:val="a4"/>
        <w:spacing w:before="0" w:beforeAutospacing="0" w:after="0" w:afterAutospacing="0"/>
        <w:ind w:right="113"/>
        <w:jc w:val="center"/>
        <w:rPr>
          <w:rFonts w:ascii="Arial" w:hAnsi="Arial" w:cs="Arial"/>
        </w:rPr>
      </w:pPr>
    </w:p>
    <w:p w:rsidR="00215390" w:rsidRDefault="00215390" w:rsidP="00506FC1">
      <w:pPr>
        <w:jc w:val="both"/>
        <w:rPr>
          <w:rFonts w:ascii="Verdana" w:hAnsi="Verdana"/>
          <w:sz w:val="24"/>
          <w:szCs w:val="24"/>
        </w:rPr>
      </w:pPr>
      <w:r>
        <w:rPr>
          <w:rFonts w:ascii="Verdana" w:hAnsi="Verdana"/>
          <w:sz w:val="24"/>
          <w:szCs w:val="24"/>
        </w:rPr>
        <w:t>Σχετικά: Αρ. Πρωτ. 48 &amp; 48</w:t>
      </w:r>
      <w:r w:rsidRPr="00215390">
        <w:rPr>
          <w:rFonts w:ascii="Verdana" w:hAnsi="Verdana"/>
          <w:sz w:val="24"/>
          <w:szCs w:val="24"/>
          <w:vertAlign w:val="superscript"/>
        </w:rPr>
        <w:t>Α</w:t>
      </w:r>
      <w:r>
        <w:rPr>
          <w:rFonts w:ascii="Verdana" w:hAnsi="Verdana"/>
          <w:sz w:val="24"/>
          <w:szCs w:val="24"/>
        </w:rPr>
        <w:t>/26/9/2007 έγγραφα ΟΔΥΕ</w:t>
      </w:r>
    </w:p>
    <w:p w:rsidR="00F2349A" w:rsidRDefault="00F2349A" w:rsidP="007E3FDC">
      <w:pPr>
        <w:pStyle w:val="a4"/>
        <w:spacing w:before="0" w:beforeAutospacing="0" w:after="0" w:afterAutospacing="0"/>
        <w:ind w:right="113"/>
        <w:jc w:val="both"/>
        <w:rPr>
          <w:rFonts w:ascii="Verdana" w:hAnsi="Verdana" w:cs="Arial"/>
          <w:color w:val="000000"/>
        </w:rPr>
      </w:pPr>
    </w:p>
    <w:p w:rsidR="007E3FDC" w:rsidRPr="00853431" w:rsidRDefault="007E3FDC" w:rsidP="007E3FDC">
      <w:pPr>
        <w:pStyle w:val="a4"/>
        <w:spacing w:before="0" w:beforeAutospacing="0" w:after="0" w:afterAutospacing="0"/>
        <w:ind w:right="113"/>
        <w:jc w:val="both"/>
        <w:rPr>
          <w:rFonts w:ascii="Verdana" w:hAnsi="Verdana" w:cs="Arial"/>
          <w:color w:val="000000"/>
        </w:rPr>
      </w:pPr>
      <w:r w:rsidRPr="00853431">
        <w:rPr>
          <w:rFonts w:ascii="Verdana" w:hAnsi="Verdana" w:cs="Arial"/>
          <w:color w:val="000000"/>
        </w:rPr>
        <w:t>Κύριε Υπουργέ,</w:t>
      </w:r>
    </w:p>
    <w:p w:rsidR="005A2B69" w:rsidRPr="00853431" w:rsidRDefault="005A2B69" w:rsidP="005A2B69">
      <w:pPr>
        <w:rPr>
          <w:rFonts w:ascii="Verdana" w:hAnsi="Verdana"/>
          <w:sz w:val="24"/>
          <w:szCs w:val="24"/>
        </w:rPr>
      </w:pPr>
      <w:r w:rsidRPr="00853431">
        <w:rPr>
          <w:rFonts w:ascii="Verdana" w:hAnsi="Verdana"/>
          <w:sz w:val="24"/>
          <w:szCs w:val="24"/>
        </w:rPr>
        <w:t> </w:t>
      </w:r>
    </w:p>
    <w:p w:rsidR="00853431" w:rsidRDefault="00853431" w:rsidP="00853431">
      <w:pPr>
        <w:jc w:val="both"/>
        <w:rPr>
          <w:rFonts w:ascii="Verdana" w:hAnsi="Verdana"/>
          <w:sz w:val="24"/>
          <w:szCs w:val="24"/>
        </w:rPr>
      </w:pPr>
      <w:r>
        <w:rPr>
          <w:rFonts w:ascii="Verdana" w:hAnsi="Verdana"/>
          <w:sz w:val="24"/>
          <w:szCs w:val="24"/>
        </w:rPr>
        <w:t>Διεκδικούμε:</w:t>
      </w:r>
      <w:r w:rsidRPr="00853431">
        <w:rPr>
          <w:rFonts w:ascii="Verdana" w:hAnsi="Verdana"/>
          <w:sz w:val="24"/>
          <w:szCs w:val="24"/>
        </w:rPr>
        <w:t xml:space="preserve"> </w:t>
      </w:r>
    </w:p>
    <w:p w:rsidR="00A8133B" w:rsidRDefault="00A8133B" w:rsidP="00853431">
      <w:pPr>
        <w:jc w:val="both"/>
        <w:rPr>
          <w:rFonts w:ascii="Verdana" w:hAnsi="Verdana"/>
          <w:sz w:val="24"/>
          <w:szCs w:val="24"/>
        </w:rPr>
      </w:pPr>
    </w:p>
    <w:p w:rsidR="00A8133B" w:rsidRPr="00A8133B" w:rsidRDefault="00A8133B" w:rsidP="00A8133B">
      <w:pPr>
        <w:jc w:val="both"/>
        <w:rPr>
          <w:rFonts w:ascii="Verdana" w:hAnsi="Verdana"/>
          <w:sz w:val="24"/>
          <w:szCs w:val="24"/>
        </w:rPr>
      </w:pPr>
      <w:r w:rsidRPr="00A8133B">
        <w:rPr>
          <w:rFonts w:ascii="Verdana" w:hAnsi="Verdana"/>
          <w:sz w:val="24"/>
          <w:szCs w:val="24"/>
        </w:rPr>
        <w:t>Εφαρμογή της σχετικής νομοθεσίας για τη δημιουργία παιδικών σταθμών στους χώρους εργασίας, λειτουργία των κατασκηνώσεων του Υπουργείου Δικαιοσύνης και δημιουργία νέων σύμφωνα με το από Δεκέμβριο του 2005 πρακτικό – πόρισμα ειδικής επιτροπής του ΥΠ.ΕΣ.Δ.Δ.Α.</w:t>
      </w:r>
      <w:r w:rsidRPr="00A8133B">
        <w:rPr>
          <w:rFonts w:ascii="Verdana" w:hAnsi="Verdana"/>
          <w:color w:val="FF0000"/>
          <w:sz w:val="24"/>
          <w:szCs w:val="24"/>
        </w:rPr>
        <w:t xml:space="preserve"> </w:t>
      </w:r>
      <w:r w:rsidRPr="00A8133B">
        <w:rPr>
          <w:rFonts w:ascii="Verdana" w:hAnsi="Verdana"/>
          <w:sz w:val="24"/>
          <w:szCs w:val="24"/>
        </w:rPr>
        <w:t xml:space="preserve">που έχει ως εξής: </w:t>
      </w:r>
    </w:p>
    <w:p w:rsidR="00A8133B" w:rsidRPr="00A8133B" w:rsidRDefault="00A8133B" w:rsidP="00A8133B">
      <w:pPr>
        <w:rPr>
          <w:rFonts w:ascii="Verdana" w:hAnsi="Verdana"/>
          <w:sz w:val="24"/>
          <w:szCs w:val="24"/>
        </w:rPr>
      </w:pPr>
      <w:r w:rsidRPr="00A8133B">
        <w:rPr>
          <w:rFonts w:ascii="Verdana" w:hAnsi="Verdana"/>
          <w:i/>
          <w:iCs/>
          <w:sz w:val="24"/>
          <w:szCs w:val="24"/>
        </w:rPr>
        <w:t>Σχέδιο νόμου «……………..»</w:t>
      </w:r>
    </w:p>
    <w:p w:rsidR="00A8133B" w:rsidRPr="00A8133B" w:rsidRDefault="00A8133B" w:rsidP="00A8133B">
      <w:pPr>
        <w:rPr>
          <w:rFonts w:ascii="Verdana" w:hAnsi="Verdana"/>
          <w:sz w:val="24"/>
          <w:szCs w:val="24"/>
        </w:rPr>
      </w:pPr>
      <w:r w:rsidRPr="00A8133B">
        <w:rPr>
          <w:rFonts w:ascii="Verdana" w:hAnsi="Verdana"/>
          <w:i/>
          <w:iCs/>
          <w:sz w:val="24"/>
          <w:szCs w:val="24"/>
        </w:rPr>
        <w:t>Άρθρο «…………..»</w:t>
      </w:r>
    </w:p>
    <w:p w:rsidR="00A8133B" w:rsidRDefault="00A8133B" w:rsidP="00A8133B">
      <w:r>
        <w:rPr>
          <w:i/>
          <w:iCs/>
        </w:rPr>
        <w:t> </w:t>
      </w:r>
    </w:p>
    <w:p w:rsidR="00A8133B" w:rsidRPr="00C47989" w:rsidRDefault="00A8133B" w:rsidP="00A8133B">
      <w:pPr>
        <w:rPr>
          <w:rFonts w:ascii="Verdana" w:hAnsi="Verdana"/>
          <w:sz w:val="24"/>
          <w:szCs w:val="24"/>
        </w:rPr>
      </w:pPr>
      <w:r w:rsidRPr="00C47989">
        <w:rPr>
          <w:rFonts w:ascii="Verdana" w:hAnsi="Verdana"/>
          <w:iCs/>
          <w:sz w:val="24"/>
          <w:szCs w:val="24"/>
          <w:u w:val="single"/>
        </w:rPr>
        <w:t>Παιδικοί Σταθμοί – Βρεφονηπιακοί Σταθμοί</w:t>
      </w:r>
    </w:p>
    <w:p w:rsidR="00A8133B" w:rsidRPr="00C47989" w:rsidRDefault="00A8133B" w:rsidP="00A8133B">
      <w:pPr>
        <w:rPr>
          <w:rFonts w:ascii="Verdana" w:hAnsi="Verdana"/>
          <w:sz w:val="24"/>
          <w:szCs w:val="24"/>
        </w:rPr>
      </w:pPr>
      <w:r w:rsidRPr="00C47989">
        <w:rPr>
          <w:rFonts w:ascii="Verdana" w:hAnsi="Verdana"/>
          <w:iCs/>
          <w:sz w:val="24"/>
          <w:szCs w:val="24"/>
        </w:rPr>
        <w:t> </w:t>
      </w:r>
    </w:p>
    <w:p w:rsidR="00A8133B" w:rsidRPr="00C47989" w:rsidRDefault="00A8133B" w:rsidP="00A8133B">
      <w:pPr>
        <w:ind w:left="720" w:hanging="360"/>
        <w:rPr>
          <w:rFonts w:ascii="Verdana" w:hAnsi="Verdana"/>
          <w:sz w:val="24"/>
          <w:szCs w:val="24"/>
        </w:rPr>
      </w:pPr>
      <w:r w:rsidRPr="00C47989">
        <w:rPr>
          <w:rFonts w:ascii="Verdana" w:hAnsi="Verdana"/>
          <w:iCs/>
          <w:sz w:val="24"/>
          <w:szCs w:val="24"/>
        </w:rPr>
        <w:t>1.</w:t>
      </w:r>
      <w:r w:rsidRPr="00C47989">
        <w:rPr>
          <w:rFonts w:ascii="Verdana" w:hAnsi="Verdana"/>
          <w:sz w:val="24"/>
          <w:szCs w:val="24"/>
        </w:rPr>
        <w:t xml:space="preserve">       </w:t>
      </w:r>
      <w:r w:rsidRPr="00C47989">
        <w:rPr>
          <w:rFonts w:ascii="Verdana" w:hAnsi="Verdana"/>
          <w:iCs/>
          <w:sz w:val="24"/>
          <w:szCs w:val="24"/>
        </w:rPr>
        <w:t>Με Προεδρικά Διατάγματα, τα οποία θα εκδοθούν σε διάστημα 6 μηνών, οι κατωτέρω φορείς οφείλουν να ιδρύσουν παιδικούς – βρεφονηπιακούς σταθμούς, ως οργανικές μονάδες υπαγόμενες στους φορείς ή ως ΝΠΔΔ:</w:t>
      </w:r>
    </w:p>
    <w:p w:rsidR="00A8133B" w:rsidRPr="00C47989" w:rsidRDefault="00A8133B" w:rsidP="00A8133B">
      <w:pPr>
        <w:rPr>
          <w:rFonts w:ascii="Verdana" w:hAnsi="Verdana"/>
          <w:sz w:val="24"/>
          <w:szCs w:val="24"/>
        </w:rPr>
      </w:pPr>
      <w:r w:rsidRPr="00C47989">
        <w:rPr>
          <w:rFonts w:ascii="Verdana" w:hAnsi="Verdana"/>
          <w:iCs/>
          <w:sz w:val="24"/>
          <w:szCs w:val="24"/>
        </w:rPr>
        <w:t>Α) Υπουργείο Δικαιοσύνης (</w:t>
      </w:r>
      <w:r w:rsidR="002C6490">
        <w:rPr>
          <w:rFonts w:ascii="Verdana" w:hAnsi="Verdana"/>
          <w:iCs/>
          <w:sz w:val="24"/>
          <w:szCs w:val="24"/>
        </w:rPr>
        <w:t>γ</w:t>
      </w:r>
      <w:r w:rsidRPr="00C47989">
        <w:rPr>
          <w:rFonts w:ascii="Verdana" w:hAnsi="Verdana"/>
          <w:iCs/>
          <w:sz w:val="24"/>
          <w:szCs w:val="24"/>
        </w:rPr>
        <w:t>ια τους Δικαστικούς Υπαλλήλους),</w:t>
      </w:r>
    </w:p>
    <w:p w:rsidR="00A8133B" w:rsidRPr="00C47989" w:rsidRDefault="00A8133B" w:rsidP="00A8133B">
      <w:pPr>
        <w:rPr>
          <w:rFonts w:ascii="Verdana" w:hAnsi="Verdana"/>
          <w:sz w:val="24"/>
          <w:szCs w:val="24"/>
        </w:rPr>
      </w:pPr>
      <w:r w:rsidRPr="00C47989">
        <w:rPr>
          <w:rFonts w:ascii="Verdana" w:hAnsi="Verdana"/>
          <w:iCs/>
          <w:sz w:val="24"/>
          <w:szCs w:val="24"/>
        </w:rPr>
        <w:t>Β) Υπουργείο Εθνικής Παιδείας και Θρησκευμάτων και τα υπαγόμενα σε αυτό ΝΠΔΔ, (για τους διοικητικούς υπαλλήλους)</w:t>
      </w:r>
    </w:p>
    <w:p w:rsidR="00A8133B" w:rsidRPr="00C47989" w:rsidRDefault="00A8133B" w:rsidP="00A8133B">
      <w:pPr>
        <w:rPr>
          <w:rFonts w:ascii="Verdana" w:hAnsi="Verdana"/>
          <w:sz w:val="24"/>
          <w:szCs w:val="24"/>
        </w:rPr>
      </w:pPr>
      <w:r w:rsidRPr="00C47989">
        <w:rPr>
          <w:rFonts w:ascii="Verdana" w:hAnsi="Verdana"/>
          <w:iCs/>
          <w:sz w:val="24"/>
          <w:szCs w:val="24"/>
        </w:rPr>
        <w:t>Γ) Υπουργείο Οικονομίας και Οικονομικών (ΓΓ ΕΣΥΕ, Μόνιμοι Υπάλληλοι Χ.Α.Α., Μόνιμοι Υπάλληλοι Επιτροπής Κεφαλαιαγοράς),</w:t>
      </w:r>
    </w:p>
    <w:p w:rsidR="00A8133B" w:rsidRPr="00C47989" w:rsidRDefault="00A8133B" w:rsidP="00A8133B">
      <w:pPr>
        <w:rPr>
          <w:rFonts w:ascii="Verdana" w:hAnsi="Verdana"/>
          <w:sz w:val="24"/>
          <w:szCs w:val="24"/>
        </w:rPr>
      </w:pPr>
      <w:r w:rsidRPr="00C47989">
        <w:rPr>
          <w:rFonts w:ascii="Verdana" w:hAnsi="Verdana"/>
          <w:iCs/>
          <w:sz w:val="24"/>
          <w:szCs w:val="24"/>
        </w:rPr>
        <w:t>Δ) Υπουργείο Εμπορικής Ναυτιλίας και τα υπαγόμενα σε αυτό ΝΠΔΔ,</w:t>
      </w:r>
    </w:p>
    <w:p w:rsidR="00A8133B" w:rsidRPr="00C47989" w:rsidRDefault="00A8133B" w:rsidP="00A8133B">
      <w:pPr>
        <w:rPr>
          <w:rFonts w:ascii="Verdana" w:hAnsi="Verdana"/>
          <w:sz w:val="24"/>
          <w:szCs w:val="24"/>
        </w:rPr>
      </w:pPr>
      <w:r w:rsidRPr="00C47989">
        <w:rPr>
          <w:rFonts w:ascii="Verdana" w:hAnsi="Verdana"/>
          <w:iCs/>
          <w:sz w:val="24"/>
          <w:szCs w:val="24"/>
        </w:rPr>
        <w:t>Ε) Νομαρχιακές Αυτοδιοικήσεις της Χώρας.</w:t>
      </w:r>
    </w:p>
    <w:p w:rsidR="00A8133B" w:rsidRPr="00C47989" w:rsidRDefault="00A8133B" w:rsidP="00A8133B">
      <w:pPr>
        <w:rPr>
          <w:rFonts w:ascii="Verdana" w:hAnsi="Verdana"/>
          <w:sz w:val="24"/>
          <w:szCs w:val="24"/>
        </w:rPr>
      </w:pPr>
      <w:r w:rsidRPr="00C47989">
        <w:rPr>
          <w:rFonts w:ascii="Verdana" w:hAnsi="Verdana"/>
          <w:iCs/>
          <w:sz w:val="24"/>
          <w:szCs w:val="24"/>
        </w:rPr>
        <w:t> </w:t>
      </w:r>
    </w:p>
    <w:p w:rsidR="00A8133B" w:rsidRPr="00C47989" w:rsidRDefault="00A8133B" w:rsidP="00A8133B">
      <w:pPr>
        <w:ind w:left="720" w:hanging="360"/>
        <w:rPr>
          <w:rFonts w:ascii="Verdana" w:hAnsi="Verdana"/>
          <w:sz w:val="24"/>
          <w:szCs w:val="24"/>
        </w:rPr>
      </w:pPr>
      <w:r w:rsidRPr="00C47989">
        <w:rPr>
          <w:rFonts w:ascii="Verdana" w:hAnsi="Verdana"/>
          <w:iCs/>
          <w:sz w:val="24"/>
          <w:szCs w:val="24"/>
        </w:rPr>
        <w:lastRenderedPageBreak/>
        <w:t>2.</w:t>
      </w:r>
      <w:r w:rsidRPr="00C47989">
        <w:rPr>
          <w:rFonts w:ascii="Verdana" w:hAnsi="Verdana"/>
          <w:sz w:val="24"/>
          <w:szCs w:val="24"/>
        </w:rPr>
        <w:t xml:space="preserve">       </w:t>
      </w:r>
      <w:r w:rsidRPr="00C47989">
        <w:rPr>
          <w:rFonts w:ascii="Verdana" w:hAnsi="Verdana"/>
          <w:iCs/>
          <w:sz w:val="24"/>
          <w:szCs w:val="24"/>
        </w:rPr>
        <w:t>Το κόστος για την ίδρυση και τη λειτουργία των παιδικών – βρεφονηπιακών σταθμών θα καλύπτεται από τον προϋπολογισμό των οικείων φορέων.</w:t>
      </w:r>
    </w:p>
    <w:p w:rsidR="00A8133B" w:rsidRPr="00C47989" w:rsidRDefault="00A8133B" w:rsidP="00A8133B">
      <w:pPr>
        <w:rPr>
          <w:rFonts w:ascii="Verdana" w:hAnsi="Verdana"/>
          <w:sz w:val="24"/>
          <w:szCs w:val="24"/>
        </w:rPr>
      </w:pPr>
      <w:r w:rsidRPr="00C47989">
        <w:rPr>
          <w:rFonts w:ascii="Verdana" w:hAnsi="Verdana"/>
          <w:iCs/>
          <w:sz w:val="24"/>
          <w:szCs w:val="24"/>
        </w:rPr>
        <w:t> </w:t>
      </w:r>
    </w:p>
    <w:p w:rsidR="00A8133B" w:rsidRPr="00C47989" w:rsidRDefault="00A8133B" w:rsidP="00A8133B">
      <w:pPr>
        <w:ind w:left="720" w:hanging="360"/>
        <w:rPr>
          <w:rFonts w:ascii="Verdana" w:hAnsi="Verdana"/>
          <w:sz w:val="24"/>
          <w:szCs w:val="24"/>
        </w:rPr>
      </w:pPr>
      <w:r w:rsidRPr="00C47989">
        <w:rPr>
          <w:rFonts w:ascii="Verdana" w:hAnsi="Verdana"/>
          <w:iCs/>
          <w:sz w:val="24"/>
          <w:szCs w:val="24"/>
        </w:rPr>
        <w:t>3.</w:t>
      </w:r>
      <w:r w:rsidRPr="00C47989">
        <w:rPr>
          <w:rFonts w:ascii="Verdana" w:hAnsi="Verdana"/>
          <w:sz w:val="24"/>
          <w:szCs w:val="24"/>
        </w:rPr>
        <w:t xml:space="preserve">       </w:t>
      </w:r>
      <w:r w:rsidRPr="00C47989">
        <w:rPr>
          <w:rFonts w:ascii="Verdana" w:hAnsi="Verdana"/>
          <w:iCs/>
          <w:sz w:val="24"/>
          <w:szCs w:val="24"/>
        </w:rPr>
        <w:t>Με τα ανωτέρω Προεδρικά Διατάγματα ρυθμίζονται όλα τα θέματα περί της ίδρυσης, στελέχωσης και κανονισμού λειτουργίας των παιδικών – βρεφονηπιακών σταθμών.</w:t>
      </w:r>
    </w:p>
    <w:p w:rsidR="00A8133B" w:rsidRPr="00C47989" w:rsidRDefault="00A8133B" w:rsidP="00A8133B">
      <w:pPr>
        <w:rPr>
          <w:rFonts w:ascii="Verdana" w:hAnsi="Verdana"/>
          <w:sz w:val="24"/>
          <w:szCs w:val="24"/>
        </w:rPr>
      </w:pPr>
      <w:r w:rsidRPr="00C47989">
        <w:rPr>
          <w:rFonts w:ascii="Verdana" w:hAnsi="Verdana"/>
          <w:iCs/>
          <w:sz w:val="24"/>
          <w:szCs w:val="24"/>
        </w:rPr>
        <w:t> </w:t>
      </w:r>
    </w:p>
    <w:p w:rsidR="00A8133B" w:rsidRDefault="00A8133B" w:rsidP="00A8133B">
      <w:pPr>
        <w:ind w:left="720" w:hanging="360"/>
      </w:pPr>
      <w:r w:rsidRPr="00C47989">
        <w:rPr>
          <w:rFonts w:ascii="Verdana" w:hAnsi="Verdana"/>
          <w:iCs/>
          <w:sz w:val="24"/>
          <w:szCs w:val="24"/>
        </w:rPr>
        <w:t>4.</w:t>
      </w:r>
      <w:r w:rsidRPr="00C47989">
        <w:rPr>
          <w:rFonts w:ascii="Verdana" w:hAnsi="Verdana"/>
          <w:sz w:val="24"/>
          <w:szCs w:val="24"/>
        </w:rPr>
        <w:t xml:space="preserve">       </w:t>
      </w:r>
      <w:r w:rsidRPr="00C47989">
        <w:rPr>
          <w:rFonts w:ascii="Verdana" w:hAnsi="Verdana"/>
          <w:iCs/>
          <w:sz w:val="24"/>
          <w:szCs w:val="24"/>
        </w:rPr>
        <w:t>Μέχρι την ίδρυση και λειτουργία των ανωτέρω σταθμών, το κόστος των τροφείων που θα καταβάλλουν οι δικαιούχοι υπάλληλοι σε δημοτικούς ή ιδιωτικούς παιδικούς – βρεφονηπιακούς σταθμούς θα βαρύνει τον προϋπολογισμό του φορέα στον οποίο ανήκει η οργανική τους θέση</w:t>
      </w:r>
      <w:r w:rsidRPr="00A8133B">
        <w:rPr>
          <w:rFonts w:ascii="Verdana" w:hAnsi="Verdana"/>
          <w:i/>
          <w:iCs/>
          <w:sz w:val="24"/>
          <w:szCs w:val="24"/>
        </w:rPr>
        <w:t>.</w:t>
      </w:r>
    </w:p>
    <w:p w:rsidR="00A8133B" w:rsidRDefault="00A8133B" w:rsidP="00A8133B">
      <w:r>
        <w:rPr>
          <w:i/>
          <w:iCs/>
        </w:rPr>
        <w:t> </w:t>
      </w:r>
    </w:p>
    <w:p w:rsidR="00A8133B" w:rsidRPr="00A8133B" w:rsidRDefault="00A8133B" w:rsidP="00A8133B">
      <w:pPr>
        <w:rPr>
          <w:rFonts w:ascii="Verdana" w:hAnsi="Verdana"/>
          <w:sz w:val="24"/>
          <w:szCs w:val="24"/>
        </w:rPr>
      </w:pPr>
      <w:r w:rsidRPr="00A8133B">
        <w:rPr>
          <w:rFonts w:ascii="Verdana" w:hAnsi="Verdana"/>
          <w:iCs/>
          <w:sz w:val="24"/>
          <w:szCs w:val="24"/>
        </w:rPr>
        <w:t xml:space="preserve">Το ποσό αυτό θα προκύπτει από τα προσκομιζόμενα σχετικά δικαιολογητικά, δε θα υπερβαίνει τα 300 ευρώ μηνιαίως ανά τέκνο, αναπροσαρμοζόμενο ετησίως με Κοινή Υπουργική Απόφαση των Υπουργών ΕΣ.Δ.Δ.Α. και Οικονομίας και Οικονομικών. </w:t>
      </w:r>
    </w:p>
    <w:p w:rsidR="00A8133B" w:rsidRPr="00A8133B" w:rsidRDefault="00A8133B" w:rsidP="00A8133B">
      <w:pPr>
        <w:rPr>
          <w:rFonts w:ascii="Verdana" w:hAnsi="Verdana"/>
          <w:sz w:val="24"/>
          <w:szCs w:val="24"/>
        </w:rPr>
      </w:pPr>
      <w:r w:rsidRPr="00A8133B">
        <w:rPr>
          <w:rFonts w:ascii="Verdana" w:hAnsi="Verdana"/>
          <w:iCs/>
          <w:sz w:val="24"/>
          <w:szCs w:val="24"/>
        </w:rPr>
        <w:t> </w:t>
      </w:r>
    </w:p>
    <w:p w:rsidR="00A8133B" w:rsidRPr="00A8133B" w:rsidRDefault="00A8133B" w:rsidP="00A8133B">
      <w:pPr>
        <w:rPr>
          <w:rFonts w:ascii="Verdana" w:hAnsi="Verdana"/>
          <w:sz w:val="24"/>
          <w:szCs w:val="24"/>
        </w:rPr>
      </w:pPr>
      <w:r w:rsidRPr="00A8133B">
        <w:rPr>
          <w:rFonts w:ascii="Verdana" w:hAnsi="Verdana"/>
          <w:iCs/>
          <w:sz w:val="24"/>
          <w:szCs w:val="24"/>
          <w:u w:val="single"/>
        </w:rPr>
        <w:t>Παιδικές Κατασκηνώσεις</w:t>
      </w:r>
    </w:p>
    <w:p w:rsidR="00A8133B" w:rsidRPr="00A8133B" w:rsidRDefault="00A8133B" w:rsidP="00A8133B">
      <w:pPr>
        <w:rPr>
          <w:rFonts w:ascii="Verdana" w:hAnsi="Verdana"/>
          <w:sz w:val="24"/>
          <w:szCs w:val="24"/>
        </w:rPr>
      </w:pPr>
      <w:r w:rsidRPr="00A8133B">
        <w:rPr>
          <w:rFonts w:ascii="Verdana" w:hAnsi="Verdana"/>
          <w:iCs/>
          <w:sz w:val="24"/>
          <w:szCs w:val="24"/>
        </w:rPr>
        <w:t> </w:t>
      </w:r>
    </w:p>
    <w:p w:rsidR="00A8133B" w:rsidRDefault="00A8133B" w:rsidP="002C6490">
      <w:pPr>
        <w:jc w:val="both"/>
        <w:rPr>
          <w:rFonts w:ascii="Verdana" w:hAnsi="Verdana"/>
          <w:iCs/>
          <w:sz w:val="24"/>
          <w:szCs w:val="24"/>
        </w:rPr>
      </w:pPr>
      <w:r w:rsidRPr="00A8133B">
        <w:rPr>
          <w:rFonts w:ascii="Verdana" w:hAnsi="Verdana"/>
          <w:iCs/>
          <w:sz w:val="24"/>
          <w:szCs w:val="24"/>
        </w:rPr>
        <w:t>Με Προεδρικά Διατάγματα είναι δυνατόν οι Φορείς της Παρ. 1 του παρόντος άρθρου να ιδρύουν παιδικές κατασκηνώσεις. Το κόστος της ίδρυσης και λειτουργίας τους θα καλύπτεται από τον προϋπολογισμό των οικείων φορέων. Μέχρι την ίδρυση των ανωτέρω παιδικών κατασκηνώσεων, το κόστος κατ’ έτος για μία κατασκηνωτική περίοδο, για κάθε παιδί των δικαιούχων υπαλλήλων, θα καλύπτεται από τον προϋπολογισμό των οικείων φορέων της Παρ. 1 του παρόντος άρθρου</w:t>
      </w:r>
      <w:r w:rsidR="002C6490">
        <w:rPr>
          <w:rFonts w:ascii="Verdana" w:hAnsi="Verdana"/>
          <w:iCs/>
          <w:sz w:val="24"/>
          <w:szCs w:val="24"/>
        </w:rPr>
        <w:t>.</w:t>
      </w:r>
    </w:p>
    <w:p w:rsidR="002C6490" w:rsidRDefault="002C6490" w:rsidP="002C6490">
      <w:pPr>
        <w:jc w:val="both"/>
        <w:rPr>
          <w:rFonts w:ascii="Verdana" w:hAnsi="Verdana"/>
          <w:iCs/>
          <w:sz w:val="24"/>
          <w:szCs w:val="24"/>
        </w:rPr>
      </w:pPr>
    </w:p>
    <w:p w:rsidR="002C6490" w:rsidRDefault="002C6490" w:rsidP="002C6490">
      <w:pPr>
        <w:jc w:val="both"/>
        <w:rPr>
          <w:rFonts w:ascii="Verdana" w:hAnsi="Verdana"/>
          <w:iCs/>
          <w:sz w:val="24"/>
          <w:szCs w:val="24"/>
        </w:rPr>
      </w:pPr>
      <w:r>
        <w:rPr>
          <w:rFonts w:ascii="Verdana" w:hAnsi="Verdana"/>
          <w:iCs/>
          <w:sz w:val="24"/>
          <w:szCs w:val="24"/>
        </w:rPr>
        <w:t>Ειδικότερα διεκδικούμε τη δημιουργία παιδικών σταθμών στα μεγάλα ως προς τον αριθμό των εργαζομένων δικαστικών υπαλλήλων και δικαστικών λειτουργών δικαστικά μέγαρα, καθώς και τη δημιουργία κατασκηνώσεων σε χώρους ιδιοκτησίας ή αρμοδιότητας του Υπουργείου Δικαιοσύνης.</w:t>
      </w:r>
    </w:p>
    <w:p w:rsidR="002C6490" w:rsidRPr="00A8133B" w:rsidRDefault="002C6490" w:rsidP="002C6490">
      <w:pPr>
        <w:jc w:val="both"/>
        <w:rPr>
          <w:rFonts w:ascii="Verdana" w:hAnsi="Verdana"/>
          <w:sz w:val="24"/>
          <w:szCs w:val="24"/>
        </w:rPr>
      </w:pPr>
    </w:p>
    <w:p w:rsidR="00A92481" w:rsidRDefault="00A92481" w:rsidP="00506FC1">
      <w:pPr>
        <w:jc w:val="both"/>
        <w:rPr>
          <w:rFonts w:ascii="Verdana" w:hAnsi="Verdana"/>
          <w:sz w:val="24"/>
          <w:szCs w:val="24"/>
        </w:rPr>
      </w:pPr>
    </w:p>
    <w:p w:rsidR="00506FC1" w:rsidRDefault="00506FC1" w:rsidP="00506FC1">
      <w:pPr>
        <w:jc w:val="both"/>
        <w:rPr>
          <w:rFonts w:ascii="Verdana" w:hAnsi="Verdana"/>
          <w:sz w:val="24"/>
          <w:szCs w:val="24"/>
        </w:rPr>
      </w:pPr>
      <w:r>
        <w:rPr>
          <w:rFonts w:ascii="Verdana" w:hAnsi="Verdana"/>
          <w:sz w:val="24"/>
          <w:szCs w:val="24"/>
        </w:rPr>
        <w:t>Με εκτίμηση,</w:t>
      </w:r>
    </w:p>
    <w:p w:rsidR="00506FC1" w:rsidRDefault="00506FC1" w:rsidP="00506FC1">
      <w:pPr>
        <w:jc w:val="center"/>
        <w:rPr>
          <w:rFonts w:ascii="Verdana" w:hAnsi="Verdana"/>
          <w:sz w:val="24"/>
          <w:szCs w:val="24"/>
        </w:rPr>
      </w:pPr>
      <w:r>
        <w:rPr>
          <w:rFonts w:ascii="Verdana" w:hAnsi="Verdana"/>
          <w:sz w:val="24"/>
          <w:szCs w:val="24"/>
        </w:rPr>
        <w:t>Για το Δ.Σ. της Ο.Δ.Υ.Ε.</w:t>
      </w:r>
    </w:p>
    <w:p w:rsidR="00506FC1" w:rsidRDefault="00506FC1" w:rsidP="004B2687">
      <w:pPr>
        <w:rPr>
          <w:rFonts w:ascii="Verdana" w:hAnsi="Verdana"/>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506FC1" w:rsidTr="004B2687">
        <w:trPr>
          <w:trHeight w:val="713"/>
        </w:trPr>
        <w:tc>
          <w:tcPr>
            <w:tcW w:w="4261" w:type="dxa"/>
          </w:tcPr>
          <w:p w:rsidR="00506FC1" w:rsidRDefault="00506FC1" w:rsidP="004B2687">
            <w:pPr>
              <w:jc w:val="center"/>
              <w:rPr>
                <w:sz w:val="24"/>
                <w:szCs w:val="24"/>
              </w:rPr>
            </w:pPr>
            <w:r>
              <w:rPr>
                <w:sz w:val="24"/>
                <w:szCs w:val="24"/>
              </w:rPr>
              <w:t>Ο Πρόεδρος</w:t>
            </w:r>
          </w:p>
        </w:tc>
        <w:tc>
          <w:tcPr>
            <w:tcW w:w="4261" w:type="dxa"/>
          </w:tcPr>
          <w:p w:rsidR="00506FC1" w:rsidRDefault="00506FC1" w:rsidP="00506FC1">
            <w:pPr>
              <w:jc w:val="center"/>
              <w:rPr>
                <w:sz w:val="24"/>
                <w:szCs w:val="24"/>
              </w:rPr>
            </w:pPr>
            <w:r>
              <w:rPr>
                <w:sz w:val="24"/>
                <w:szCs w:val="24"/>
              </w:rPr>
              <w:t>Ο Γεν. Γραμματέας</w:t>
            </w:r>
          </w:p>
          <w:p w:rsidR="00506FC1" w:rsidRDefault="00506FC1" w:rsidP="00506FC1">
            <w:pPr>
              <w:jc w:val="center"/>
              <w:rPr>
                <w:sz w:val="24"/>
                <w:szCs w:val="24"/>
              </w:rPr>
            </w:pPr>
          </w:p>
          <w:p w:rsidR="00506FC1" w:rsidRDefault="00506FC1" w:rsidP="00506FC1">
            <w:pPr>
              <w:jc w:val="center"/>
              <w:rPr>
                <w:sz w:val="24"/>
                <w:szCs w:val="24"/>
              </w:rPr>
            </w:pPr>
          </w:p>
          <w:p w:rsidR="00506FC1" w:rsidRDefault="00506FC1" w:rsidP="00506FC1">
            <w:pPr>
              <w:jc w:val="center"/>
              <w:rPr>
                <w:sz w:val="24"/>
                <w:szCs w:val="24"/>
              </w:rPr>
            </w:pPr>
          </w:p>
        </w:tc>
      </w:tr>
      <w:tr w:rsidR="00506FC1" w:rsidTr="00506FC1">
        <w:tc>
          <w:tcPr>
            <w:tcW w:w="4261" w:type="dxa"/>
          </w:tcPr>
          <w:p w:rsidR="00506FC1" w:rsidRDefault="004B2687" w:rsidP="00506FC1">
            <w:pPr>
              <w:jc w:val="center"/>
              <w:rPr>
                <w:sz w:val="24"/>
                <w:szCs w:val="24"/>
              </w:rPr>
            </w:pPr>
            <w:r>
              <w:rPr>
                <w:sz w:val="24"/>
                <w:szCs w:val="24"/>
              </w:rPr>
              <w:t>Χ</w:t>
            </w:r>
            <w:r w:rsidR="00506FC1">
              <w:rPr>
                <w:sz w:val="24"/>
                <w:szCs w:val="24"/>
              </w:rPr>
              <w:t>ρήστος Καϋμενάκης</w:t>
            </w:r>
          </w:p>
        </w:tc>
        <w:tc>
          <w:tcPr>
            <w:tcW w:w="4261" w:type="dxa"/>
          </w:tcPr>
          <w:p w:rsidR="00506FC1" w:rsidRDefault="00506FC1" w:rsidP="00506FC1">
            <w:pPr>
              <w:jc w:val="center"/>
              <w:rPr>
                <w:sz w:val="24"/>
                <w:szCs w:val="24"/>
              </w:rPr>
            </w:pPr>
            <w:r>
              <w:rPr>
                <w:sz w:val="24"/>
                <w:szCs w:val="24"/>
              </w:rPr>
              <w:t>Δημήτρης Λιάτσος</w:t>
            </w:r>
          </w:p>
        </w:tc>
      </w:tr>
    </w:tbl>
    <w:p w:rsidR="00506FC1" w:rsidRDefault="00506FC1" w:rsidP="004B2687"/>
    <w:sectPr w:rsidR="00506FC1" w:rsidSect="00A92481">
      <w:footerReference w:type="even" r:id="rId8"/>
      <w:footerReference w:type="default" r:id="rId9"/>
      <w:pgSz w:w="11906" w:h="16838"/>
      <w:pgMar w:top="719" w:right="1800" w:bottom="53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2A3" w:rsidRDefault="00D422A3">
      <w:r>
        <w:separator/>
      </w:r>
    </w:p>
  </w:endnote>
  <w:endnote w:type="continuationSeparator" w:id="0">
    <w:p w:rsidR="00D422A3" w:rsidRDefault="00D42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90" w:rsidRDefault="002C6490" w:rsidP="008A5B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C6490" w:rsidRDefault="002C6490" w:rsidP="00264A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90" w:rsidRDefault="002C6490" w:rsidP="008A5BD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C6B09">
      <w:rPr>
        <w:rStyle w:val="a6"/>
        <w:noProof/>
      </w:rPr>
      <w:t>1</w:t>
    </w:r>
    <w:r>
      <w:rPr>
        <w:rStyle w:val="a6"/>
      </w:rPr>
      <w:fldChar w:fldCharType="end"/>
    </w:r>
  </w:p>
  <w:p w:rsidR="002C6490" w:rsidRDefault="002C6490" w:rsidP="00264AD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2A3" w:rsidRDefault="00D422A3">
      <w:r>
        <w:separator/>
      </w:r>
    </w:p>
  </w:footnote>
  <w:footnote w:type="continuationSeparator" w:id="0">
    <w:p w:rsidR="00D422A3" w:rsidRDefault="00D42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308F"/>
    <w:multiLevelType w:val="multilevel"/>
    <w:tmpl w:val="5AD053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17F55"/>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F3B8B"/>
    <w:multiLevelType w:val="hybridMultilevel"/>
    <w:tmpl w:val="F9606BBE"/>
    <w:lvl w:ilvl="0" w:tplc="2F1A62AE">
      <w:start w:val="3"/>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3">
    <w:nsid w:val="273F5132"/>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BD2B9E"/>
    <w:multiLevelType w:val="multilevel"/>
    <w:tmpl w:val="0914B2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2F3D67"/>
    <w:multiLevelType w:val="multilevel"/>
    <w:tmpl w:val="9842BC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A93EFD"/>
    <w:multiLevelType w:val="hybridMultilevel"/>
    <w:tmpl w:val="2B5CCCF4"/>
    <w:lvl w:ilvl="0" w:tplc="89D8B506">
      <w:start w:val="5"/>
      <w:numFmt w:val="decimal"/>
      <w:lvlText w:val="%1."/>
      <w:lvlJc w:val="left"/>
      <w:pPr>
        <w:tabs>
          <w:tab w:val="num" w:pos="1215"/>
        </w:tabs>
        <w:ind w:left="1215" w:hanging="85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E787FDB"/>
    <w:multiLevelType w:val="hybridMultilevel"/>
    <w:tmpl w:val="D5862194"/>
    <w:lvl w:ilvl="0" w:tplc="04080011">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3425A4B"/>
    <w:multiLevelType w:val="multilevel"/>
    <w:tmpl w:val="4C88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BE25F4"/>
    <w:multiLevelType w:val="hybridMultilevel"/>
    <w:tmpl w:val="68AE3654"/>
    <w:lvl w:ilvl="0" w:tplc="72F470EC">
      <w:start w:val="3"/>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5692721D"/>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891C21"/>
    <w:multiLevelType w:val="multilevel"/>
    <w:tmpl w:val="C2049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5D6ED0"/>
    <w:multiLevelType w:val="multilevel"/>
    <w:tmpl w:val="C958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135CA6"/>
    <w:multiLevelType w:val="multilevel"/>
    <w:tmpl w:val="0B4A4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2"/>
  </w:num>
  <w:num w:numId="4">
    <w:abstractNumId w:val="11"/>
  </w:num>
  <w:num w:numId="5">
    <w:abstractNumId w:val="5"/>
  </w:num>
  <w:num w:numId="6">
    <w:abstractNumId w:val="10"/>
  </w:num>
  <w:num w:numId="7">
    <w:abstractNumId w:val="1"/>
  </w:num>
  <w:num w:numId="8">
    <w:abstractNumId w:val="3"/>
  </w:num>
  <w:num w:numId="9">
    <w:abstractNumId w:val="0"/>
  </w:num>
  <w:num w:numId="10">
    <w:abstractNumId w:val="4"/>
  </w:num>
  <w:num w:numId="11">
    <w:abstractNumId w:val="7"/>
  </w:num>
  <w:num w:numId="12">
    <w:abstractNumId w:val="9"/>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B4C9B"/>
    <w:rsid w:val="00000908"/>
    <w:rsid w:val="000817D2"/>
    <w:rsid w:val="000B4EB2"/>
    <w:rsid w:val="000C1AC2"/>
    <w:rsid w:val="000E226B"/>
    <w:rsid w:val="00215390"/>
    <w:rsid w:val="00264ADA"/>
    <w:rsid w:val="002B62CB"/>
    <w:rsid w:val="002C05A4"/>
    <w:rsid w:val="002C341D"/>
    <w:rsid w:val="002C6490"/>
    <w:rsid w:val="003320F2"/>
    <w:rsid w:val="003623B6"/>
    <w:rsid w:val="003650A9"/>
    <w:rsid w:val="003E01FC"/>
    <w:rsid w:val="00430DA4"/>
    <w:rsid w:val="00455529"/>
    <w:rsid w:val="004B2687"/>
    <w:rsid w:val="004F1CC5"/>
    <w:rsid w:val="00506FC1"/>
    <w:rsid w:val="005826BC"/>
    <w:rsid w:val="005A2B69"/>
    <w:rsid w:val="005E7552"/>
    <w:rsid w:val="006154AF"/>
    <w:rsid w:val="00631410"/>
    <w:rsid w:val="00640D37"/>
    <w:rsid w:val="006A7EE0"/>
    <w:rsid w:val="006D51E3"/>
    <w:rsid w:val="00713E23"/>
    <w:rsid w:val="007618AE"/>
    <w:rsid w:val="00786237"/>
    <w:rsid w:val="007A13EA"/>
    <w:rsid w:val="007A5ACC"/>
    <w:rsid w:val="007E3FDC"/>
    <w:rsid w:val="007F0622"/>
    <w:rsid w:val="0081213B"/>
    <w:rsid w:val="00853431"/>
    <w:rsid w:val="00862496"/>
    <w:rsid w:val="008A5BDB"/>
    <w:rsid w:val="00902BD6"/>
    <w:rsid w:val="00906946"/>
    <w:rsid w:val="009734A8"/>
    <w:rsid w:val="009F001E"/>
    <w:rsid w:val="00A3284D"/>
    <w:rsid w:val="00A8133B"/>
    <w:rsid w:val="00A92481"/>
    <w:rsid w:val="00AA6EED"/>
    <w:rsid w:val="00AC6B09"/>
    <w:rsid w:val="00B81E70"/>
    <w:rsid w:val="00BB4C9B"/>
    <w:rsid w:val="00C47989"/>
    <w:rsid w:val="00CD3B43"/>
    <w:rsid w:val="00D04F59"/>
    <w:rsid w:val="00D10D24"/>
    <w:rsid w:val="00D305E8"/>
    <w:rsid w:val="00D422A3"/>
    <w:rsid w:val="00D70862"/>
    <w:rsid w:val="00DA027A"/>
    <w:rsid w:val="00DC1428"/>
    <w:rsid w:val="00DE7A37"/>
    <w:rsid w:val="00DF01F4"/>
    <w:rsid w:val="00E2606C"/>
    <w:rsid w:val="00E43F53"/>
    <w:rsid w:val="00E57A23"/>
    <w:rsid w:val="00EB26EF"/>
    <w:rsid w:val="00EC3E0B"/>
    <w:rsid w:val="00F12508"/>
    <w:rsid w:val="00F16544"/>
    <w:rsid w:val="00F2349A"/>
    <w:rsid w:val="00F51A7A"/>
    <w:rsid w:val="00F71B62"/>
    <w:rsid w:val="00F95F26"/>
    <w:rsid w:val="00F969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C9B"/>
    <w:rPr>
      <w:rFonts w:ascii="Arial" w:hAnsi="Arial" w:cs="Arial"/>
      <w:color w:val="000000"/>
    </w:rPr>
  </w:style>
  <w:style w:type="paragraph" w:styleId="4">
    <w:name w:val="heading 4"/>
    <w:basedOn w:val="a"/>
    <w:next w:val="a"/>
    <w:qFormat/>
    <w:rsid w:val="00BB4C9B"/>
    <w:pPr>
      <w:keepNext/>
      <w:jc w:val="right"/>
      <w:outlineLvl w:val="3"/>
    </w:pPr>
    <w:rPr>
      <w:rFonts w:ascii="Times New Roman" w:hAnsi="Times New Roman" w:cs="Times New Roman"/>
      <w:b/>
      <w:bCs/>
      <w:color w:val="aut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6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215390"/>
    <w:pPr>
      <w:spacing w:before="100" w:beforeAutospacing="1" w:after="100" w:afterAutospacing="1"/>
    </w:pPr>
    <w:rPr>
      <w:rFonts w:ascii="Times New Roman" w:hAnsi="Times New Roman" w:cs="Times New Roman"/>
      <w:color w:val="auto"/>
      <w:sz w:val="24"/>
      <w:szCs w:val="24"/>
    </w:rPr>
  </w:style>
  <w:style w:type="paragraph" w:styleId="Web">
    <w:name w:val="Normal (Web)"/>
    <w:basedOn w:val="a"/>
    <w:rsid w:val="00F51A7A"/>
    <w:pPr>
      <w:spacing w:before="100" w:beforeAutospacing="1" w:after="100" w:afterAutospacing="1"/>
    </w:pPr>
    <w:rPr>
      <w:rFonts w:ascii="Times New Roman" w:hAnsi="Times New Roman" w:cs="Times New Roman"/>
      <w:color w:val="auto"/>
      <w:sz w:val="24"/>
      <w:szCs w:val="24"/>
    </w:rPr>
  </w:style>
  <w:style w:type="paragraph" w:styleId="a5">
    <w:name w:val="footer"/>
    <w:basedOn w:val="a"/>
    <w:rsid w:val="00264ADA"/>
    <w:pPr>
      <w:tabs>
        <w:tab w:val="center" w:pos="4153"/>
        <w:tab w:val="right" w:pos="8306"/>
      </w:tabs>
    </w:pPr>
  </w:style>
  <w:style w:type="character" w:styleId="a6">
    <w:name w:val="page number"/>
    <w:basedOn w:val="a0"/>
    <w:rsid w:val="00264A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2965</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ΟΜΟΣΠΟΝΔΙΑ ΔΙΚΑΣΤΙΚΩΝ</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ΟΜΟΣΠΟΝΔΙΑ ΔΙΚΑΣΤΙΚΩΝ</dc:title>
  <dc:creator>ΓΙΩΡΓΟΣ ΧΡΥΣΙΚΟΣ</dc:creator>
  <cp:lastModifiedBy>Demitra Pitaouli</cp:lastModifiedBy>
  <cp:revision>2</cp:revision>
  <dcterms:created xsi:type="dcterms:W3CDTF">2023-05-11T09:17:00Z</dcterms:created>
  <dcterms:modified xsi:type="dcterms:W3CDTF">2023-05-11T09:17:00Z</dcterms:modified>
</cp:coreProperties>
</file>